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73 vom 12. Dezember 2022</w:t>
      </w:r>
    </w:p>
    <w:p>
      <w:r>
        <w:t>VS Kantonsgericht, 2022-12-12, FR</w:t>
      </w:r>
    </w:p>
    <w:p>
      <w:r>
        <w:rPr>
          <w:b/>
        </w:rPr>
        <w:t xml:space="preserve">Quelle: </w:t>
      </w:r>
      <w:r>
        <w:t>https://mcp.opencaselaw.ch/entscheid/vs_gerichte_A1 22 73</w:t>
      </w:r>
    </w:p>
    <w:p>
      <w:r>
        <w:t>FR: VS_GERICHTE A1 22 73 du 12 décembre 2022</w:t>
      </w:r>
    </w:p>
    <w:p>
      <w:r>
        <w:t>IT: VS_GERICHTE A1 22 73 del 12 dicembre 2022</w:t>
      </w:r>
    </w:p>
    <w:p>
      <w:pPr>
        <w:pStyle w:val="Heading2"/>
      </w:pPr>
      <w:r>
        <w:t>Regeste</w:t>
      </w:r>
    </w:p>
    <w:p>
      <w:r>
        <w:t>A1 22 73 ARRÊT DU 12 DECEMBRE 2022 Tribunal cantonal du Valais Cour de droit public Composition : Christophe Joris, président ; Thomas Brunner et Jean-Bernard Fournier, juges ; Elodie Cosandey, greffière ; en la cause X _________, recourant, représenté par Maître François Pernet, avocat, 1951 Sion contre CONSEIL D'ETAT DU VALAIS, 1951 Sion, autorité attaquée (Police des étrangers ; révocation de l’autorisation de séjour et renvoi) recours de droit administratif contre la décision du 30 mars 2022</w:t>
      </w:r>
    </w:p>
    <w:p>
      <w:pPr>
        <w:pStyle w:val="Heading2"/>
      </w:pPr>
      <w:r>
        <w:t>Erwägungen</w:t>
      </w:r>
    </w:p>
    <w:p>
      <w:r>
        <w:rPr>
          <w:b/>
        </w:rPr>
        <w:t>E. 1</w:t>
      </w:r>
    </w:p>
    <w:p>
      <w:r>
        <w:t>Déposé en temps utile et dans les formes requises contre une décision du Conseil d’Etat par une personne directement atteinte, le recours de droit administratif du</w:t>
      </w:r>
    </w:p>
    <w:p>
      <w:r>
        <w:rPr>
          <w:b/>
        </w:rPr>
        <w:t>E. 5</w:t>
      </w:r>
    </w:p>
    <w:p>
      <w:r>
        <w:t>mai 2022 est recevable (art. 72, 78 let. a, 80 al. 1 let. a-c, 44 al. 1 let. a, 46 et 48 de la loi du 6 octobre 1976 sur la procédure et la juridiction administratives – LPJA ; RS/VS 172.6). 2. A titre de moyens de preuve, le recourant a requis l’édition du dossier de la cause par le SPM ainsi que par le Conseil d’Etat. Ce dernier a déposé son dossier complet (contenant celui du SPM) le 25 mai 2022. La demande du recourant est donc satisfaite (art. 80 al. 1 let. d, 56 al. 1 et 17 al. 2 LPJA). 3. A titre liminaire, il convient de souligner que la loi du 16 décembre 2005 sur les étrangers porte, depuis le 1er janvier 2019, la dénomination de loi sur les étrangers et l'intégration (LEI ; RS 142.20). Elle a subi diverses modifications, lesquelles ne sauraient trouver ici application dès lors que la décision litigieuse repose sur l'ancien droit, seul applicable au présent litige (cf. art. 126 al. 1 LEI). Cela n’a toutefois aucune incidence dans la mesure où l’art. 50 al. 1 let. b et al. 2 LEtr, dont l’application est notamment ici litigieuse, est identique à l’art. 50 al. 1 let. b et al. 2 LEI. 4. Dans un grief qu’il convient d’examiner en premier lieu, compte tenu de son incidence sur le fond du litige, le recourant se plaint d’une constatation inexacte et arbitraire des faits (art. 78 let. a LPJA) à plusieurs égards. En effet, il estime que le Conseil d’Etat a faussement constaté l’absence de violences conjugales sur la base de l’ordonnance du 22 novembre 2021, de même qu’inféré de manière précipitée de la simple ouverture</w:t>
      </w:r>
    </w:p>
    <w:p>
      <w:r>
        <w:t>- 11 - d’une procédure pénale pour lésions corporelles par négligence qu’il était l’auteur d’un accident de la circulation avec blessé. 4.1. Concernant l’existence de violences conjugales au sein du couple, contrairement à l’avis du recourant, le Conseil d’Etat ne s’est pas contenté de l’ordonnance du 22 novembre 2021 pour établir l’existence ou l’absence de telles violences. En effet, il s’est fondé sur l’ensemble du dossier, en particulier sur les différentes déclarations des parties quant à la dispute alléguée ainsi que sur leur relation, mais également sur le constat de coups du 17 décembre 2017. Le fait que la plainte pénale déposée par le recourant n’ait pas abouti n’était qu’un élément parmi d’autres pris en considération par le Conseil d’Etat. A cela s’ajoute que la question de savoir si les éléments probants proposés par le recourant atteignent le niveau d’intensité requis par la jurisprudence pour retenir que l’on se trouve dans un cas d’application de l’art. 50 al. 2 LEtr relève en réalité du pouvoir d’appréciation de l’autorité. A cet égard, la Cour de céans procédera à sa propre appréciation des preuves dans le cadre de l’analyse de l’éventuelle violation de l’art. 50 al.1 let. b et al. 2 LEtr. 4.2. S’agissant de l’accident de la circulation dans lequel le recourant a été impliqué, même s’il n’appartient pas aux autorités administratives de droit des étrangers de se substituer aux autorités pénales pour qualifier juridiquement les faits, force est de constater que le recourant a lui-même admis, lors que son interrogatoire du</w:t>
      </w:r>
    </w:p>
    <w:p>
      <w:r>
        <w:rPr>
          <w:b/>
        </w:rPr>
        <w:t>E. 10</w:t>
      </w:r>
    </w:p>
    <w:p>
      <w:r>
        <w:t>février 2021, circuler seul au volant de son véhicule au moment des faits et n’avoir pas vu la dame qui marchait sur le trottoir. Le Conseil d’Etat ne s’est absolument pas avancé sur la qualification de lésions corporelles simples. Il n’a par ailleurs pas tenu compte de ces éléments dans la motivation de sa décision, puisqu’il a retenu au considérant 5.4.2, que le recourant n’avait jamais contrevenu à l’ordre public suisse. L’on ne peut dès lors lui reprocher, comme le fait le recourant, d’avoir assimilé l’ouverture de la procédure pénale sur ces faits à une condamnation. 4.3. Partant, le grief de constatation inexacte et arbitraire des faits est rejeté. 5. Au fond, le recourant invoque une violation de l’art 50 al. 1 let. b et al. 2 LEtr, estimant que sa situation a été mal appréciée par l’autorité précédente et qu’il remplit le critère des raisons personnelles majeures. Il aurait en effet non seulement été victime de violences conjugales mais le mariage aurait également été conclu contre sa volonté et la réintégration dans son pays serait compromise, étant donné qu’il n’avait plus ni domicile ni perspectives professionnelles là-bas.</w:t>
      </w:r>
    </w:p>
    <w:p>
      <w:r>
        <w:t>- 12 - 5.1.1 L’art. 50 al. 1 let. b LEtr permet au conjoint étranger de demeurer en Suisse après la dissolution de l'union conjugale, lorsque la poursuite de son séjour s'impose pour des raisons personnelles majeures. Ces dernières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(ATF 138 II 393 consid. 3.1; arrêt du Tribunal fédéral 2C_96/2022 du 16 août 2022 consid. 3.3). 5.1.2 Pour les violences conjugales,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229 consid. 3.2.1 ; ATF 136 II consid 4 et 4 ; arrêt 2C_919/2019 du 25 février 2020 consid. 5.3.1). Les violences psychologiques entrent également en ligne de compte. C'est le cas, notamment, selon la pratique, lorsque l'intégrité psychique de la victime serait gravement atteinte en cas de maintien de l'union conjugale (cf. arrêt du Tribunal fédéral 2C_221/2011 du 30 juillet 2011 consid. 2). Toutefois, toute évolution malheureuse, pénible et non conforme à ses propres attentes d'une relation ne justifie pas en soi un cas de rigueur après le mariage et un droit de présence supplémentaire en Suisse. L'oppression domestique implique des mauvais traitements systématiques dans le but d'exercer un pouvoir et un contrôle (ATF 138 II 229 précité, consid. 3.2.2 ; arrêt du Tribunal fédéral 2C_428/2012 du 18 mai 2012 consid. 2.2.3). La maltraitance doit en principe présenter un caractère systématique ayant pour but d'exercer pouvoir et contrôle sur la victime (ATF 138 II 229 consid. 3.2.1). Moins les violences sont intensives, plus important devra être le caractère systématique de celles-ci (arrêt 2C_919/2019 du 25 février 2020 consid. 5.3.1 et l'arrêt cité). Un acte de violence isolé ne peut conduire à admettre l'existence de raisons</w:t>
      </w:r>
    </w:p>
    <w:p>
      <w:r>
        <w:t>- 13 - personnelles majeures que s'il est particulièrement grave (arrêt du Tribunal fédéral 2C_1051/2020 du 26 mars 2021 consid. 6.1). Une attaque verbale à l'occasion d'une dispute, de même qu'une gifle ou le fait pour un époux étranger d'avoir été enfermé une fois dehors par son épouse ne suffisent pas (cf. ATF 138 II 229 consid. 3.2.1 ; arrêt du Tribunal fédéral 2C_96/2022 précité consid. 3.4). La personne qui se prétend victime de violences conjugales au sens de l’art. 50 al. 1 let. b et al. 2 LEtr est soumise à un devoir de coopération accru (art. 90 LEtr ; ATF 138 II 229 précité, consid. 3.2.3). Elle doit rendre vraisemblable la violence conjugale de manière appropriée (rapports médicaux ou expertises psychiatriques, rapports de police, rapports / évaluations de services spécialisés [maison d’accueil pour femmes, aide aux victimes, etc], témoignages crédibles d’autres membres de la famille ou voisins, etc ; cf. arrêts du Tribunal fédéral 2C_96/2022 précité consid. 3.4 et 2C_263/2019 du 21 janvier 2020 consid. 4.4). En présence de violences psychologiques,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précité, consid. 3.2.2). 5.1.3 Des raisons personnelles majeures au sens de l’art. 50 al. 2 LEtr peuvent également exister lorsque la réintégration de la personne étrangère dans son pays d’origine peut être compromise.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consid. 3.2.2). La disposition en question laisse aux autorités une certaine liberté d'appréciation humanitaire (arrêt du Tribunal fédéral 2C_1075/2019 du 21 avril 2020 consid. 5.3.1).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Le fait qu'un étranger puisse se prévaloir d'une intégration réussie ne suffit pas en soi pour remplir les conditions de l’art. 50 al. 1 let. b LEtr (arrêts du Tribunal fédéral 2C_96/2022 précité consid. 3.4 et 2C_49/2021 du 20 mai 2021 consid. 2.1). En d’autres termes, disposer d'une place de travail, parler une</w:t>
      </w:r>
    </w:p>
    <w:p>
      <w:r>
        <w:t>- 14 - langue nationale, ne pas dépendre de l'aide sociale et ne pas avoir été condamné pénalement ne suffit pas en principe pour retenir des raisons personnelles majeures (cf. arrêts du Tribunal fédéral 2C_616/2019 du 19 août 2019 consid. 7.4 ; 2C_339/2018 du 16 novembre 2018 consid. 9.3 et les arrêts cités). 5.2.1 En l’occurrence, le recourant soutient avoir été non seulement victime de violences physiques de la part de son épouse lors de l’altercation du 17 décembre 2017, mais également de violences psychologiques émanant de cette dernière dans les semaines ayant précédés la séparation. Relativement aux violences physiques, le constat de coups du 17 décembre 2017 indiquait en effet que « le pied gauche du recourant présentait alors une tuméfaction en regard des os naviculaire et cunéiforme, compatible donc avec un écrasement du pied avec une chaussure » et mentionnait la présence d’une griffure au niveau du tronc. Selon les constatations faites dans l’ordonnance pénale du 22 novembre 2021, aucun élément de ce document n’établissait toutefois la présence de blessures compatibles avec les coups de poing allégués, cette hypothèse étant même réfutée pour expliquer la cause de la griffure. L’état du pied gauche était en revanche compatible avec un écrasement par une chaussure. En raison de l’absence de preuves supplémentaires et des déclarations contradictoires des parties, l’on ne saurait ainsi tenir pour établi que cette blessure a été causée par l’ex-femme du recourant. A cela s’ajoute que, lors de son interrogatoire du 19 décembre 2017 par la police cantonale, le recourant a précisé qu’il n’y avait pas d’antécédents de violences physiques au sein du couple. Il a expliqué à cette occasion que la relation s’était détériorée une semaine après le mariage déjà et que sa femme s’énervait en rentrant du travail car il n’avait rien rangé ni fait le ménage, mais qu’il n’y avait rien de plus qui n’allait pas. Quant à la dispute du 17 décembre 2017, il a indiqué, au cours de cette audition, que sa femme lui avait présenté des papiers en disant que c’était ceux du divorce, mais qu’il n’avait pas voulu les signer et que c’était pour cela que la situation avait dégénéré. Le recourant n’a par ailleurs déposé en cause aucun élément probant relatif aux violences psychologiques qu'il allègue, quand bien même il lui appartient de démontrer de manière crédible leur existence. Lors de son audition du 24 avril 2018, il a tout au plus mentionné que son épouse lui reprochait de ne pas travailler. Dans ces circonstances, force est de constater que le recourant n’a pas rendu vraisemblable l’existence de violences conjugales, que ce soit physiques ou psychiques, au sens de l’art. 50 al. 2 LEtr. En effet, même si l’on devait supposer que c’était son épouse qui lui avait écrasé le pied, il s’agirait d’un comportement isolé ne revêtant pas la gravité nécessaire pour admettre que l’on se trouve dans un cas d’application de</w:t>
      </w:r>
    </w:p>
    <w:p>
      <w:r>
        <w:t>- 15 - l’art. 50 al. 1 let. b et al. 2 LEtr. Il en va de même des reproches de sa femme sur le fait qu’il n’avait pas fait le ménage ni trouvé de travail, de tels propos ne permettant pas en eux-mêmes retenir l’existence d’une situation de maltraitance ou d’oppression domestique au sens de la jurisprudence évoquée supra au considérant 5.1.2. A noter également, et comme l’ont souligné les autorités précédentes, que c’est seulement après que son épouse a évoqué le souhait de divorcer et présenté des documents en ce sens que l’altercation du 17 décembre 2017 a eu lieu, de sorte que l’on peut effectivement retenir que le mariage était déjà vidé de sa substance. En effet, en l’espace de seulement quatre semaines de mariage, la relation entre le recourant et sa femme s’était déjà dégradée à tel point que cette dernière ne semblait plus envisager d’avenir commun. Ainsi, le recourant n’a pas fui prématurément la relation pour mettre fin aux violences conjugales, comme il semble le soutenir, la dispute dont il se plaint étant au contraire survenue en réponse à la volonté de son épouse de le quitter. 5.2.2 Le recourant se plaint également de la manière dont sa femme l’aurait pressé pour qu’il quitte son pays et vienne la rejoindre. Or, il ressort non seulement des déclarations du recourant du 19 décembre 2017 et du 24 avril 2018, mais également de l’audition de son ex-femme du 19 mars 2018, que le projet de mariage était commun. L’on peine dès lors à suivre le recourant lorsqu’il invoque céans pour la première fois avoir conclu le mariage contre sa volonté, ce d’autant plus qu’il admet lui-même que tout se passait bien jusqu’à une semaine après le mariage. La simple évolution malheureuse et non conforme à ses attentes de la relation ne permet en tout cas pas de conclure à l’existence d’un mariage forcé. 5.2.3 Pour justifier le maintien de sa présence en Suisse et la difficulté de sa réintégration dans son pays d’origine, le recourant mentionne la durée de son séjour en Suisse, son autonomie financière, l'absence d'antécédents pénaux et de poursuites ainsi que sa bonne intégration en Suisse. A l’inverse, un retour en Tunisie serait compliqué, compte tenu de son âge ainsi que de son absence de domicile et de perspectives professionnelles dans ce pays qui connaît un taux élevé de chômage et une crise dans le domaine hôtelier en raison de la pandémie. Ces éléments, à savoir la durée de présence et l'intégration en Suisse, ainsi que les possibilités de réintégration dans l'Etat de provenance, sont pertinents mais non décisifs à eux seuls, pour juger de l'existence d'un cas d'extrême gravité, respectivement de l'existence de raisons personnelles majeures (cf. arrêts du Tribunal fédéral 2C_858/2021 du 17 décembre 2021 consid. 8.2 et 2C_49/2021 du 20 mai 2021 consid. 2.2). A cet</w:t>
      </w:r>
    </w:p>
    <w:p>
      <w:r>
        <w:t>- 16 - égard, il ressort du dossier que la durée du séjour en Suisse du recourant ne saurait être déterminante, puisque celui-ci n’est plus au bénéfice d’une autorisation de séjour valable depuis 2018 déjà, soit moins d’un an après son arrivée (les années passées dans l'illégalité ou au bénéfice d'une simple tolérance ne comptent pas ; cf. ATF 137 II 1 consid. 4.3 ; 134 II 10 consid. 4.3). En outre, son intégration doit également être relativisée puisqu'il n'a exercé que des activités ponctuelles, la plupart du temps par le biais d’entreprises de placement. Au cours de son séjour en Suisse, le recourant a, par deux fois, signé des contrats de durée indéterminée, lesquels n’ont toutefois pas perduré. Le dernier contrat de travail produit devant la Cour de céans ne fait pas exception, puisqu’il s’agit à nouveau d’un contrat de mission dans le domaine de la construction, de sorte qu’il n’a pas vocation à se prolonger indéfiniment, quand bien même son terme ne serait pas arrêté. Enfin, l’on peut partir du principe que le recourant, qui est encore jeune, en bonne santé et sans enfant, dispose des ressources nécessaires à une réintégration dans son pays d'origine, pays dans lequel il est né et a passé la majeure partie de sa vie, dont il parle la langue et où résident la plupart des membres de sa famille. N’ayant aucune famille en Suisse et ne bénéficiant non plus pas d’une position professionnelle stable et enviable dans notre pays, les arguments invoqués par le recourant ne suffisent pas à démontrer qu'un départ de Suisse représenterait un déracinement excessif au point de constituer une raison personnelle majeure donnant droit à une autorisation de séjour au sens de l'art. 50 al. 1 let. b LEtr. La simple référence à la situation socio-politique en Tunisie, en particulier au taux de chômage qui y règne, ne suffit pas pour retenir un cas de rigueur (cf. arrêt du Tribunal fédéral 2C_858/2021 précité consid. 8.2). Partant, c’est à raison que le Conseil d’Etat a estimé que l’on ne se trouvait pas dans un cas de raisons personnelles majeures de l’art. 50 al. 1 let. b LEtr et le grief est rejeté. Par ailleurs, comme on l’a vu, le recourant n'a légalement séjourné en Suisse qu’un peu plus de 8 mois, de son arrivée le 11 novembre 2017 à la révocation de son autorisation de séjour par le SPM le 30 juillet 2018, et il n'est pas particulièrement intégré. En pareilles circonstances, le recourant ne peut pas se prévaloir de l'art. 8 CEDH en lien avec la vie privée (cf. arrêt du Tribunal fédéral 2C_184/2022 du 28 mars 2022 consid. 8). Il ne prétend d'ailleurs pas le contraire. 6. Au vu de ce qui précède, la décision attaquée doit être confirmée et le recours rejeté (art. 80 al. 1 let. e et 60 al. 1 LPJA).</w:t>
      </w:r>
    </w:p>
    <w:p>
      <w:r>
        <w:t>- 17 - 7. 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